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虚拟开标大厅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9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_Toc14183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_Toc14183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_Toc20317 </w:instrText>
      </w:r>
      <w:r>
        <w:rPr>
          <w:szCs w:val="20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1.1、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温馨提示</w:t>
      </w:r>
      <w:r>
        <w:tab/>
      </w:r>
      <w:r>
        <w:fldChar w:fldCharType="begin"/>
      </w:r>
      <w:r>
        <w:instrText xml:space="preserve"> PAGEREF _Toc20317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_Toc26169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rPr>
          <w:rFonts w:hint="eastAsia"/>
          <w:highlight w:val="none"/>
          <w:lang w:val="en-US" w:eastAsia="zh-CN"/>
        </w:rPr>
        <w:t>原件问题提示</w:t>
      </w:r>
      <w:r>
        <w:tab/>
      </w:r>
      <w:r>
        <w:fldChar w:fldCharType="begin"/>
      </w:r>
      <w:r>
        <w:instrText xml:space="preserve"> PAGEREF _Toc26169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_Toc6040 </w:instrText>
      </w:r>
      <w:r>
        <w:rPr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kern w:val="2"/>
          <w:szCs w:val="18"/>
          <w:lang w:val="en-US" w:eastAsia="zh-CN" w:bidi="ar-SA"/>
        </w:rPr>
        <w:t xml:space="preserve">1.1.2、 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驱动、IE、带宽问题提示</w:t>
      </w:r>
      <w:r>
        <w:tab/>
      </w:r>
      <w:r>
        <w:fldChar w:fldCharType="begin"/>
      </w:r>
      <w:r>
        <w:instrText xml:space="preserve"> PAGEREF _Toc6040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_Toc11025 </w:instrText>
      </w:r>
      <w:r>
        <w:rPr>
          <w:szCs w:val="20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1.2、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_Toc11025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_Toc7574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  <w:lang w:val="en-US" w:eastAsia="zh-CN"/>
        </w:rPr>
        <w:t>驱动安装说明</w:t>
      </w:r>
      <w:r>
        <w:tab/>
      </w:r>
      <w:r>
        <w:fldChar w:fldCharType="begin"/>
      </w:r>
      <w:r>
        <w:instrText xml:space="preserve"> PAGEREF _Toc7574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_Toc5158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_Toc5158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_Toc1868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rPr>
          <w:rFonts w:hint="eastAsia"/>
          <w:lang w:val="en-US" w:eastAsia="zh-CN"/>
        </w:rPr>
        <w:t>可信站点</w:t>
      </w:r>
      <w:r>
        <w:tab/>
      </w:r>
      <w:r>
        <w:fldChar w:fldCharType="begin"/>
      </w:r>
      <w:r>
        <w:instrText xml:space="preserve"> PAGEREF _Toc1868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_Toc9677 </w:instrText>
      </w:r>
      <w:r>
        <w:rPr>
          <w:szCs w:val="20"/>
        </w:rPr>
        <w:fldChar w:fldCharType="separate"/>
      </w:r>
      <w:r>
        <w:rPr>
          <w:rFonts w:hint="eastAsia"/>
          <w:i w:val="0"/>
          <w:lang w:val="en-US" w:eastAsia="zh-CN"/>
        </w:rPr>
        <w:t xml:space="preserve">1.3.2、 </w:t>
      </w:r>
      <w:r>
        <w:rPr>
          <w:rFonts w:hint="eastAsia"/>
          <w:lang w:val="en-US" w:eastAsia="zh-CN"/>
        </w:rPr>
        <w:t>兼容性视图设置</w:t>
      </w:r>
      <w:r>
        <w:tab/>
      </w:r>
      <w:r>
        <w:fldChar w:fldCharType="begin"/>
      </w:r>
      <w:r>
        <w:instrText xml:space="preserve"> PAGEREF _Toc9677 </w:instrText>
      </w:r>
      <w:r>
        <w:fldChar w:fldCharType="separate"/>
      </w:r>
      <w:r>
        <w:t>10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_Toc11551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1.3.3、 </w:t>
      </w:r>
      <w:r>
        <w:t>关闭拦截工具</w:t>
      </w:r>
      <w:r>
        <w:tab/>
      </w:r>
      <w:r>
        <w:fldChar w:fldCharType="begin"/>
      </w:r>
      <w:r>
        <w:instrText xml:space="preserve"> PAGEREF _Toc11551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29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_Toc20117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_Toc20117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_Toc25636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_Toc25636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_Toc5397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_Toc5397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_Toc20251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_Toc20251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_Toc5481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_Toc5481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_Toc5257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_Toc5257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_Toc21371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_Toc21371 </w:instrText>
      </w:r>
      <w:r>
        <w:fldChar w:fldCharType="separate"/>
      </w:r>
      <w:r>
        <w:t>19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_Toc2655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_Toc2655 </w:instrText>
      </w:r>
      <w:r>
        <w:fldChar w:fldCharType="separate"/>
      </w:r>
      <w:r>
        <w:t>20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_Toc20602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2.8、 </w:t>
      </w:r>
      <w:r>
        <w:rPr>
          <w:rFonts w:hint="eastAsia"/>
        </w:rPr>
        <w:t>招标人解密</w:t>
      </w:r>
      <w:r>
        <w:tab/>
      </w:r>
      <w:r>
        <w:fldChar w:fldCharType="begin"/>
      </w:r>
      <w:r>
        <w:instrText xml:space="preserve"> PAGEREF _Toc20602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_Toc11271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_Toc11271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_Toc1333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2.10、 </w:t>
      </w:r>
      <w:r>
        <w:rPr>
          <w:rFonts w:hint="eastAsia"/>
        </w:rPr>
        <w:t>唱标</w:t>
      </w:r>
      <w:r>
        <w:tab/>
      </w:r>
      <w:r>
        <w:fldChar w:fldCharType="begin"/>
      </w:r>
      <w:r>
        <w:instrText xml:space="preserve"> PAGEREF _Toc1333 </w:instrText>
      </w:r>
      <w:r>
        <w:fldChar w:fldCharType="separate"/>
      </w:r>
      <w:r>
        <w:t>22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_Toc5598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2.11、 </w:t>
      </w:r>
      <w:r>
        <w:rPr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_Toc5598 </w:instrText>
      </w:r>
      <w:r>
        <w:fldChar w:fldCharType="separate"/>
      </w:r>
      <w:r>
        <w:t>23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_Toc12344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2.12、 </w:t>
      </w:r>
      <w:r>
        <w:rPr>
          <w:rFonts w:hint="eastAsia"/>
        </w:rPr>
        <w:t>语音异议</w:t>
      </w:r>
      <w:r>
        <w:tab/>
      </w:r>
      <w:r>
        <w:fldChar w:fldCharType="begin"/>
      </w:r>
      <w:r>
        <w:instrText xml:space="preserve"> PAGEREF _Toc12344 </w:instrText>
      </w:r>
      <w:r>
        <w:fldChar w:fldCharType="separate"/>
      </w:r>
      <w:r>
        <w:t>23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_Toc22873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2.13、 </w:t>
      </w:r>
      <w:r>
        <w:rPr>
          <w:rFonts w:hint="eastAsia"/>
        </w:rPr>
        <w:t>文字异议</w:t>
      </w:r>
      <w:r>
        <w:tab/>
      </w:r>
      <w:r>
        <w:fldChar w:fldCharType="begin"/>
      </w:r>
      <w:r>
        <w:instrText xml:space="preserve"> PAGEREF _Toc22873 </w:instrText>
      </w:r>
      <w:r>
        <w:fldChar w:fldCharType="separate"/>
      </w:r>
      <w:r>
        <w:t>26</w:t>
      </w:r>
      <w:r>
        <w:fldChar w:fldCharType="end"/>
      </w:r>
      <w:r>
        <w:rPr>
          <w:szCs w:val="20"/>
        </w:rPr>
        <w:fldChar w:fldCharType="end"/>
      </w:r>
    </w:p>
    <w:p>
      <w:pPr>
        <w:pStyle w:val="4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</w:pPr>
      <w:bookmarkStart w:id="0" w:name="_Toc346701609"/>
      <w:bookmarkStart w:id="1" w:name="_Toc346183627"/>
      <w:bookmarkStart w:id="2" w:name="_Toc404765182"/>
      <w:bookmarkStart w:id="3" w:name="_Toc404243487"/>
      <w:bookmarkStart w:id="4" w:name="_Toc404764406"/>
      <w:bookmarkStart w:id="5" w:name="_Toc14183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rFonts w:hint="eastAsia"/>
          <w:lang w:val="en-US" w:eastAsia="zh-CN"/>
        </w:rPr>
      </w:pPr>
      <w:bookmarkStart w:id="6" w:name="_Toc20317"/>
      <w:bookmarkStart w:id="7" w:name="_Toc346183639"/>
      <w:bookmarkStart w:id="8" w:name="_Toc346701621"/>
      <w:bookmarkStart w:id="9" w:name="_Toc404243499"/>
      <w:bookmarkStart w:id="10" w:name="_Toc404765194"/>
      <w:bookmarkStart w:id="11" w:name="_Toc404764418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温馨提示</w:t>
      </w:r>
      <w:bookmarkEnd w:id="6"/>
    </w:p>
    <w:p>
      <w:pPr>
        <w:pStyle w:val="5"/>
        <w:rPr>
          <w:color w:val="FF0000"/>
          <w:highlight w:val="none"/>
        </w:rPr>
      </w:pPr>
      <w:bookmarkStart w:id="12" w:name="_Toc26169"/>
      <w:r>
        <w:rPr>
          <w:rFonts w:hint="eastAsia"/>
          <w:color w:val="FF0000"/>
          <w:highlight w:val="none"/>
          <w:lang w:val="en-US" w:eastAsia="zh-CN"/>
        </w:rPr>
        <w:t>原件问题提示</w:t>
      </w:r>
      <w:bookmarkEnd w:id="12"/>
    </w:p>
    <w:p>
      <w:p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不见面开标方式因投标人不来开标现场，资格审查如需提供原件，请按招标文件（答疑澄清文件）中要求，在投标文件中上传电子版。</w:t>
      </w:r>
    </w:p>
    <w:p>
      <w:pPr>
        <w:pStyle w:val="5"/>
        <w:rPr>
          <w:rFonts w:hint="eastAsia" w:ascii="Times New Roman" w:hAnsi="Times New Roman" w:eastAsia="宋体" w:cs="Times New Roman"/>
          <w:b/>
          <w:bCs/>
          <w:color w:val="FF0000"/>
          <w:kern w:val="2"/>
          <w:sz w:val="28"/>
          <w:szCs w:val="18"/>
          <w:lang w:val="en-US" w:eastAsia="zh-CN" w:bidi="ar-SA"/>
        </w:rPr>
      </w:pPr>
      <w:bookmarkStart w:id="13" w:name="_Toc6040"/>
      <w:r>
        <w:rPr>
          <w:rFonts w:hint="eastAsia" w:cs="Times New Roman"/>
          <w:b/>
          <w:bCs/>
          <w:color w:val="FF0000"/>
          <w:kern w:val="2"/>
          <w:sz w:val="28"/>
          <w:szCs w:val="18"/>
          <w:lang w:val="en-US" w:eastAsia="zh-CN" w:bidi="ar-SA"/>
        </w:rPr>
        <w:t>驱动、IE、带宽问题提示</w:t>
      </w:r>
      <w:bookmarkEnd w:id="13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不见面开标方式因投标人不来开标现场，并且各个投标人都是使用自备的电脑、网络环境，请却确保所使用电脑的IE环境、驱动都按照1.2、1.3章节配置好，并确保网络带宽足够。</w:t>
      </w:r>
    </w:p>
    <w:p>
      <w:pPr>
        <w:pStyle w:val="3"/>
        <w:rPr>
          <w:lang w:val="en-US" w:eastAsia="zh-CN"/>
        </w:rPr>
      </w:pPr>
      <w:bookmarkStart w:id="14" w:name="_Toc11025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4"/>
    </w:p>
    <w:p>
      <w:pPr>
        <w:pStyle w:val="5"/>
      </w:pPr>
      <w:bookmarkStart w:id="15" w:name="_Toc7574"/>
      <w:r>
        <w:rPr>
          <w:rFonts w:hint="eastAsia"/>
          <w:lang w:val="en-US" w:eastAsia="zh-CN"/>
        </w:rPr>
        <w:t>驱动安装说明</w:t>
      </w:r>
      <w:bookmarkEnd w:id="15"/>
    </w:p>
    <w:p>
      <w:pPr>
        <w:ind w:left="0" w:leftChars="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河南</w:t>
      </w:r>
      <w:r>
        <w:rPr>
          <w:rFonts w:hint="eastAsia"/>
          <w:sz w:val="28"/>
          <w:szCs w:val="28"/>
          <w:lang w:val="en-US" w:eastAsia="zh-CN"/>
        </w:rPr>
        <w:t>豫信</w:t>
      </w:r>
      <w:r>
        <w:rPr>
          <w:sz w:val="28"/>
          <w:szCs w:val="28"/>
        </w:rPr>
        <w:t>公共资源交易</w:t>
      </w:r>
      <w:r>
        <w:rPr>
          <w:rFonts w:hint="eastAsia"/>
          <w:sz w:val="28"/>
          <w:szCs w:val="28"/>
          <w:lang w:val="en-US" w:eastAsia="zh-CN"/>
        </w:rPr>
        <w:t>平台</w:t>
      </w:r>
      <w:r>
        <w:rPr>
          <w:sz w:val="28"/>
          <w:szCs w:val="28"/>
        </w:rPr>
        <w:t>网</w:t>
      </w:r>
      <w:r>
        <w:rPr>
          <w:rFonts w:hint="eastAsia"/>
          <w:sz w:val="28"/>
          <w:szCs w:val="28"/>
        </w:rPr>
        <w:t>站</w:t>
      </w:r>
      <w:r>
        <w:rPr>
          <w:sz w:val="28"/>
          <w:szCs w:val="28"/>
        </w:rPr>
        <w:t>（</w:t>
      </w:r>
      <w:r>
        <w:rPr>
          <w:rFonts w:hint="eastAsia"/>
          <w:sz w:val="30"/>
          <w:szCs w:val="30"/>
        </w:rPr>
        <w:t>http://www.hnyxggzy.com/</w:t>
      </w:r>
      <w:r>
        <w:rPr>
          <w:sz w:val="28"/>
          <w:szCs w:val="28"/>
        </w:rPr>
        <w:t>），点击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交易主体登录</w:t>
      </w:r>
      <w:r>
        <w:rPr>
          <w:rFonts w:hint="eastAsia"/>
          <w:sz w:val="28"/>
          <w:szCs w:val="28"/>
        </w:rPr>
        <w:t>】按钮进入</w:t>
      </w:r>
      <w:r>
        <w:rPr>
          <w:rFonts w:hint="eastAsia"/>
          <w:sz w:val="28"/>
          <w:szCs w:val="28"/>
          <w:lang w:val="en-US" w:eastAsia="zh-CN"/>
        </w:rPr>
        <w:t>交易主体系统登录页面</w:t>
      </w:r>
      <w:r>
        <w:rPr>
          <w:sz w:val="28"/>
          <w:szCs w:val="28"/>
        </w:rPr>
        <w:t>。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6183630" cy="3902710"/>
            <wp:effectExtent l="0" t="0" r="3810" b="1397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85" w:leftChars="50" w:hanging="280" w:hangingChars="100"/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CN"/>
        </w:rPr>
        <w:t>交易主体</w:t>
      </w:r>
      <w:r>
        <w:rPr>
          <w:rFonts w:hint="eastAsia"/>
          <w:sz w:val="28"/>
          <w:szCs w:val="28"/>
        </w:rPr>
        <w:t>系统登录的界面下载驱动，如下图红框处。</w:t>
      </w:r>
    </w:p>
    <w:p>
      <w:pPr>
        <w:widowControl/>
        <w:jc w:val="left"/>
      </w:pPr>
      <w:r>
        <w:drawing>
          <wp:inline distT="0" distB="0" distL="114300" distR="114300">
            <wp:extent cx="5111115" cy="2376805"/>
            <wp:effectExtent l="0" t="0" r="952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cs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双击驱动安装程序</w:t>
      </w:r>
      <w:r>
        <w:drawing>
          <wp:inline distT="0" distB="0" distL="114300" distR="114300">
            <wp:extent cx="693420" cy="693420"/>
            <wp:effectExtent l="0" t="0" r="762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4"/>
          <w:sz w:val="28"/>
          <w:szCs w:val="28"/>
        </w:rPr>
        <w:t>，进入安装页面。</w:t>
      </w:r>
      <w:r>
        <w:rPr>
          <w:rFonts w:hint="eastAsia"/>
          <w:spacing w:val="4"/>
          <w:sz w:val="28"/>
          <w:szCs w:val="28"/>
          <w:lang w:val="en-US" w:eastAsia="zh-CN"/>
        </w:rPr>
        <w:t>选择快速安装或自定义安装，自定义安装需自行选择安装位置</w:t>
      </w:r>
      <w:r>
        <w:rPr>
          <w:spacing w:val="4"/>
          <w:sz w:val="28"/>
          <w:szCs w:val="28"/>
        </w:rPr>
        <w:t>。</w:t>
      </w:r>
      <w:r>
        <w:rPr>
          <w:rFonts w:hint="eastAsia" w:ascii="黑体" w:hAnsi="黑体" w:eastAsia="黑体" w:cs="宋体"/>
          <w:b/>
          <w:spacing w:val="4"/>
          <w:sz w:val="28"/>
          <w:szCs w:val="28"/>
        </w:rPr>
        <w:t>注意安装过程中电脑不要插CA锁。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rFonts w:hint="eastAsia"/>
        </w:rPr>
      </w:pPr>
      <w:r>
        <w:drawing>
          <wp:inline distT="0" distB="0" distL="114300" distR="114300">
            <wp:extent cx="5715000" cy="4290060"/>
            <wp:effectExtent l="0" t="0" r="0" b="762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spacing w:val="4"/>
          <w:lang w:val="en-US" w:eastAsia="zh-CN"/>
        </w:rPr>
      </w:pPr>
      <w:r>
        <w:rPr>
          <w:spacing w:val="4"/>
          <w:sz w:val="28"/>
          <w:szCs w:val="28"/>
        </w:rPr>
        <w:t>运行完毕后，</w:t>
      </w:r>
      <w:r>
        <w:rPr>
          <w:rFonts w:hint="eastAsia"/>
          <w:spacing w:val="4"/>
          <w:sz w:val="28"/>
          <w:szCs w:val="28"/>
        </w:rPr>
        <w:t>点击“完成”，</w:t>
      </w:r>
      <w:r>
        <w:rPr>
          <w:spacing w:val="4"/>
          <w:sz w:val="28"/>
          <w:szCs w:val="28"/>
        </w:rPr>
        <w:t>驱动安装成功。</w:t>
      </w:r>
    </w:p>
    <w:p>
      <w:pPr>
        <w:pStyle w:val="4"/>
        <w:spacing w:line="360" w:lineRule="auto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715000" cy="4290060"/>
            <wp:effectExtent l="0" t="0" r="0" b="762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黑体" w:hAnsi="黑体" w:eastAsia="黑体"/>
          <w:spacing w:val="4"/>
          <w:sz w:val="28"/>
          <w:szCs w:val="28"/>
        </w:rPr>
        <w:t>注意安装过程中电脑不要插CA锁。</w:t>
      </w:r>
    </w:p>
    <w:p>
      <w:pPr>
        <w:pStyle w:val="3"/>
      </w:pPr>
      <w:bookmarkStart w:id="16" w:name="_Toc5158"/>
      <w:r>
        <w:t>浏览器配置</w:t>
      </w:r>
      <w:bookmarkEnd w:id="7"/>
      <w:bookmarkEnd w:id="8"/>
      <w:bookmarkEnd w:id="9"/>
      <w:bookmarkEnd w:id="10"/>
      <w:bookmarkEnd w:id="11"/>
      <w:bookmarkEnd w:id="16"/>
    </w:p>
    <w:p>
      <w:pPr>
        <w:pStyle w:val="5"/>
        <w:widowControl/>
        <w:tabs>
          <w:tab w:val="clear" w:pos="567"/>
        </w:tabs>
      </w:pPr>
      <w:bookmarkStart w:id="17" w:name="_Toc1868"/>
      <w:r>
        <w:rPr>
          <w:rFonts w:hint="eastAsia"/>
          <w:lang w:val="en-US" w:eastAsia="zh-CN"/>
        </w:rPr>
        <w:t>可信站点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注意:请使用IE10以上版本的IE浏览器</w:t>
      </w:r>
    </w:p>
    <w:p>
      <w:pPr>
        <w:pStyle w:val="4"/>
        <w:ind w:left="0" w:leftChars="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在正式使用系统之前，请先设置可信站点。</w:t>
      </w: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第1步、打开IE的Internet选项</w:t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打开IE，选择“工具——Internet 选项（0）...”，见下图，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6055" cy="3274695"/>
            <wp:effectExtent l="0" t="0" r="6985" b="190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第2步、添加可信站点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如上图，依次选择标签“安全”——“受信任的站点”（可信站点）——“站点（S）...” ，打开如下图所示的界面，</w:t>
      </w:r>
    </w:p>
    <w:p>
      <w:pPr>
        <w:pStyle w:val="4"/>
        <w:ind w:firstLine="0" w:firstLineChars="0"/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274310" cy="3853815"/>
            <wp:effectExtent l="0" t="0" r="1397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输入系统地址http://www.hnyxggzy.com</w:t>
      </w:r>
      <w:r>
        <w:rPr>
          <w:rFonts w:hint="eastAsia" w:ascii="宋体" w:hAnsi="宋体"/>
          <w:lang w:val="en-US" w:eastAsia="zh-CN"/>
        </w:rPr>
        <w:t>后</w:t>
      </w:r>
      <w:r>
        <w:rPr>
          <w:rFonts w:hint="eastAsia" w:ascii="宋体" w:hAnsi="宋体"/>
          <w:lang w:eastAsia="zh-CN"/>
        </w:rPr>
        <w:t>，（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点【添加】</w:t>
      </w:r>
      <w:r>
        <w:rPr>
          <w:rFonts w:hint="eastAsia" w:ascii="宋体" w:hAnsi="宋体"/>
          <w:lang w:val="en-US" w:eastAsia="zh-CN"/>
        </w:rPr>
        <w:t>后确定。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第3步、设置可信站点的自定义级别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如上图，依次选择“安全”——“受信任的站点”（可信站点）——“自定义级别（C）...” ，打开如下图的界面，把其中的“A</w:t>
      </w:r>
      <w:r>
        <w:rPr>
          <w:rFonts w:ascii="宋体" w:hAnsi="宋体"/>
        </w:rPr>
        <w:t>ctivex控件和插件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的设置全部改为启用</w:t>
      </w:r>
      <w:r>
        <w:rPr>
          <w:rFonts w:hint="eastAsia" w:ascii="宋体" w:hAnsi="宋体"/>
        </w:rPr>
        <w:t>，最后点【确定】。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716780" cy="5539740"/>
            <wp:effectExtent l="0" t="0" r="762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8" w:name="_Toc9677"/>
      <w:r>
        <w:rPr>
          <w:rFonts w:hint="eastAsia"/>
          <w:lang w:val="en-US" w:eastAsia="zh-CN"/>
        </w:rPr>
        <w:t>兼容性视图设置</w:t>
      </w:r>
      <w:bookmarkEnd w:id="18"/>
    </w:p>
    <w:p>
      <w:pPr>
        <w:pStyle w:val="4"/>
        <w:ind w:left="211" w:firstLine="148" w:firstLineChars="62"/>
        <w:rPr>
          <w:rFonts w:hint="default" w:eastAsia="宋体"/>
          <w:lang w:val="en-US" w:eastAsia="zh-CN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</w:t>
      </w:r>
      <w:r>
        <w:rPr/>
        <w:sym w:font="Wingdings" w:char="F0E0"/>
      </w:r>
      <w:r>
        <w:rPr>
          <w:rFonts w:hint="eastAsia"/>
        </w:rPr>
        <w:t>工具</w:t>
      </w:r>
      <w:r>
        <w:rPr/>
        <w:sym w:font="Wingdings" w:char="F0E0"/>
      </w:r>
      <w:r>
        <w:rPr>
          <w:rFonts w:hint="eastAsia"/>
        </w:rPr>
        <w:t>兼容性视图设置，将下面地址加入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如下图操作。</w:t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HYPERLINK "http://www.hnyxggzy.com" </w:instrText>
      </w:r>
      <w:r>
        <w:rPr>
          <w:rFonts w:hint="eastAsia" w:ascii="宋体" w:hAnsi="宋体"/>
        </w:rPr>
        <w:fldChar w:fldCharType="separate"/>
      </w:r>
      <w:r>
        <w:rPr>
          <w:rStyle w:val="47"/>
          <w:rFonts w:hint="eastAsia" w:ascii="宋体" w:hAnsi="宋体"/>
        </w:rPr>
        <w:t>http://www.hnyxggzy.com</w:t>
      </w:r>
      <w:r>
        <w:rPr>
          <w:rFonts w:hint="eastAsia" w:ascii="宋体" w:hAnsi="宋体"/>
        </w:rPr>
        <w:fldChar w:fldCharType="end"/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如果当前IE浏览器已经进入平台网站或系统登录界面，浏览器会自动识别到系统地址，可以直接点击添加，无需手动输入</w:t>
      </w:r>
      <w:r>
        <w:rPr>
          <w:rFonts w:hint="eastAsia" w:ascii="宋体" w:hAnsi="宋体"/>
          <w:lang w:eastAsia="zh-CN"/>
        </w:rPr>
        <w:t>）</w:t>
      </w:r>
    </w:p>
    <w:p>
      <w:r>
        <w:drawing>
          <wp:inline distT="0" distB="0" distL="114300" distR="114300">
            <wp:extent cx="4616450" cy="3740785"/>
            <wp:effectExtent l="0" t="0" r="127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768850"/>
            <wp:effectExtent l="0" t="0" r="508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clear" w:pos="567"/>
        </w:tabs>
      </w:pPr>
      <w:bookmarkStart w:id="19" w:name="_Toc346183641"/>
      <w:bookmarkStart w:id="20" w:name="_Toc404243501"/>
      <w:bookmarkStart w:id="21" w:name="_Toc404764420"/>
      <w:bookmarkStart w:id="22" w:name="_Toc404765196"/>
      <w:bookmarkStart w:id="23" w:name="_Toc346701623"/>
      <w:bookmarkStart w:id="24" w:name="_Toc11551"/>
      <w:r>
        <w:t>关闭拦截工具</w:t>
      </w:r>
      <w:bookmarkEnd w:id="19"/>
      <w:bookmarkEnd w:id="20"/>
      <w:bookmarkEnd w:id="21"/>
      <w:bookmarkEnd w:id="22"/>
      <w:bookmarkEnd w:id="23"/>
      <w:bookmarkEnd w:id="24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4"/>
        <w:ind w:firstLine="480" w:firstLineChars="200"/>
        <w:jc w:val="center"/>
      </w:pPr>
      <w:r>
        <w:drawing>
          <wp:inline distT="0" distB="0" distL="114300" distR="114300">
            <wp:extent cx="5095875" cy="23241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/>
    <w:p>
      <w:pPr>
        <w:pStyle w:val="2"/>
      </w:pPr>
      <w:bookmarkStart w:id="25" w:name="_Toc20117"/>
      <w:r>
        <w:rPr>
          <w:rFonts w:hint="eastAsia"/>
        </w:rPr>
        <w:t>虚拟开标大厅</w:t>
      </w:r>
      <w:bookmarkEnd w:id="25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26" w:name="_Toc25636"/>
      <w:r>
        <w:rPr>
          <w:rFonts w:hint="eastAsia"/>
        </w:rPr>
        <w:t>登录</w:t>
      </w:r>
      <w:bookmarkEnd w:id="26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1、打开豫信公共资源交易平台网站（http://www.hnyxggzy.com/），点击右侧的“不见面开标大厅”，进入到不见面开标大厅的登录页面，</w:t>
      </w:r>
      <w: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3740785"/>
            <wp:effectExtent l="0" t="0" r="1016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点击“登录”，在左侧选择“投标人”身份，</w:t>
      </w:r>
      <w:r>
        <w:rPr>
          <w:rFonts w:hint="eastAsia"/>
          <w:lang w:val="en-US" w:eastAsia="zh-CN"/>
        </w:rPr>
        <w:t>并选择“河南豫信公共资源交易平台”</w:t>
      </w:r>
      <w:r>
        <w:rPr>
          <w:rFonts w:hint="eastAsia"/>
        </w:rPr>
        <w:t>插入CA锁，输入密码后，点击“登录”</w:t>
      </w:r>
      <w:r>
        <w:t>：</w:t>
      </w:r>
    </w:p>
    <w:p>
      <w:pPr>
        <w:ind w:firstLine="0" w:firstLineChars="0"/>
      </w:pPr>
      <w:r>
        <w:drawing>
          <wp:inline distT="0" distB="0" distL="114300" distR="114300">
            <wp:extent cx="5245735" cy="2418080"/>
            <wp:effectExtent l="0" t="0" r="12065" b="5080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27" w:name="_Toc5397"/>
      <w:r>
        <w:rPr>
          <w:rFonts w:hint="eastAsia"/>
        </w:rPr>
        <w:t>项目列表页面</w:t>
      </w:r>
      <w:bookmarkEnd w:id="27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</w:t>
      </w:r>
      <w:r>
        <w:rPr>
          <w:rFonts w:hint="eastAsia"/>
          <w:lang w:val="en-US" w:eastAsia="zh-CN"/>
        </w:rPr>
        <w:t>项目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当前投标人今天开标的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中间项目列表区域右上角可根据标段名称或者标段编号查询，</w:t>
      </w:r>
      <w:r>
        <w:rPr>
          <w:rFonts w:hint="eastAsia"/>
          <w:lang w:val="en-US" w:eastAsia="zh-CN"/>
        </w:rPr>
        <w:t>点击对应的标段，可以进入相应标段，</w:t>
      </w:r>
      <w: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33320"/>
            <wp:effectExtent l="0" t="0" r="1270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20251"/>
      <w:r>
        <w:rPr>
          <w:rFonts w:hint="eastAsia"/>
        </w:rPr>
        <w:t>进入开标大厅</w:t>
      </w:r>
      <w:bookmarkEnd w:id="2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选择要开标的项目，点击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，</w:t>
      </w:r>
      <w:r>
        <w:rPr>
          <w:rFonts w:hint="eastAsia"/>
        </w:rPr>
        <w:t>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2777490"/>
            <wp:effectExtent l="0" t="0" r="10160" b="381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005" cy="2778125"/>
            <wp:effectExtent l="0" t="0" r="10795" b="317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drawing>
          <wp:inline distT="0" distB="0" distL="114300" distR="114300">
            <wp:extent cx="5238115" cy="2775585"/>
            <wp:effectExtent l="0" t="0" r="635" b="571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9" w:name="_Toc5481"/>
      <w:r>
        <w:rPr>
          <w:rFonts w:hint="eastAsia"/>
        </w:rPr>
        <w:t>等待开标</w:t>
      </w:r>
      <w:bookmarkEnd w:id="2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投标人等待开标时需要签到，等候开标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注：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请务必在开标前完成签到，</w:t>
      </w:r>
      <w:r>
        <w:rPr>
          <w:rFonts w:hint="eastAsia"/>
          <w:b/>
          <w:bCs/>
          <w:color w:val="FF0000"/>
          <w:sz w:val="28"/>
          <w:szCs w:val="28"/>
        </w:rPr>
        <w:t>开标时间到了之后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就</w:t>
      </w:r>
      <w:r>
        <w:rPr>
          <w:rFonts w:hint="eastAsia"/>
          <w:b/>
          <w:bCs/>
          <w:color w:val="FF0000"/>
          <w:sz w:val="28"/>
          <w:szCs w:val="28"/>
        </w:rPr>
        <w:t>不能签到；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</w:rPr>
        <w:t>点击下方“签到”按钮进行签到，开标前一小时可以签到</w:t>
      </w:r>
      <w:r>
        <w:t>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2560" cy="2786380"/>
            <wp:effectExtent l="0" t="0" r="15240" b="1397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签到成功之后，按钮灰化，无需再次签到，同时第一个座位图右下角出现绿色√；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drawing>
          <wp:inline distT="0" distB="0" distL="114300" distR="114300">
            <wp:extent cx="676275" cy="628650"/>
            <wp:effectExtent l="0" t="0" r="9525" b="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离席：</w:t>
      </w:r>
      <w:r>
        <w:drawing>
          <wp:inline distT="0" distB="0" distL="114300" distR="114300">
            <wp:extent cx="666750" cy="628650"/>
            <wp:effectExtent l="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，已签到：</w:t>
      </w:r>
      <w:r>
        <w:drawing>
          <wp:inline distT="0" distB="0" distL="114300" distR="114300">
            <wp:extent cx="1724025" cy="676275"/>
            <wp:effectExtent l="0" t="0" r="9525" b="952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点击座位图下方“查看更过”，可以查看所有投标人情况；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5257"/>
      <w:r>
        <w:rPr>
          <w:rFonts w:hint="eastAsia"/>
        </w:rPr>
        <w:t>公布投标人</w:t>
      </w:r>
      <w:bookmarkEnd w:id="30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8275" cy="2419350"/>
            <wp:effectExtent l="0" t="0" r="9525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21371"/>
      <w:r>
        <w:rPr>
          <w:rFonts w:hint="eastAsia"/>
        </w:rPr>
        <w:t>查看投标人名单</w:t>
      </w:r>
      <w:bookmarkEnd w:id="31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因某种原因被退回投标文件</w:t>
      </w:r>
      <w:r>
        <w:rPr>
          <w:rFonts w:hint="eastAsia"/>
          <w:b/>
          <w:bCs/>
          <w:color w:val="FF0000"/>
          <w:sz w:val="28"/>
          <w:szCs w:val="28"/>
        </w:rPr>
        <w:t>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5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2" w:name="_Toc2655"/>
      <w:r>
        <w:rPr>
          <w:rFonts w:hint="eastAsia"/>
        </w:rPr>
        <w:t>投标人解密</w:t>
      </w:r>
      <w:bookmarkEnd w:id="32"/>
    </w:p>
    <w:p>
      <w:pPr>
        <w:rPr>
          <w:rFonts w:hint="default" w:eastAsia="宋体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提示：等招标代理（招标人）开启解密环节后，投标人可以开始解密，请务必在规定时间内完成解密。</w:t>
      </w:r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投标人进行解密</w:t>
      </w:r>
      <w:r>
        <w:rPr>
          <w:bCs/>
        </w:rPr>
        <w:t>。</w:t>
      </w:r>
    </w:p>
    <w:p>
      <w:pPr>
        <w:ind w:firstLine="422"/>
        <w:rPr>
          <w:color w:val="FF0000"/>
        </w:rPr>
      </w:pPr>
      <w:r>
        <w:rPr>
          <w:b/>
        </w:rPr>
        <w:t>前置条件：</w:t>
      </w:r>
      <w:r>
        <w:rPr>
          <w:color w:val="FF0000"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Chars="0"/>
      </w:pPr>
      <w:r>
        <w:rPr>
          <w:rFonts w:hint="eastAsia"/>
        </w:rPr>
        <w:t>解密时间已到；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20602"/>
      <w:r>
        <w:rPr>
          <w:rFonts w:hint="eastAsia"/>
        </w:rPr>
        <w:t>招标人解密</w:t>
      </w:r>
      <w:bookmarkEnd w:id="3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0" w:firstLineChars="0"/>
      </w:pPr>
    </w:p>
    <w:p>
      <w:pPr>
        <w:pStyle w:val="3"/>
      </w:pPr>
      <w:bookmarkStart w:id="34" w:name="_Toc11271"/>
      <w:r>
        <w:rPr>
          <w:rFonts w:hint="eastAsia"/>
        </w:rPr>
        <w:t>批量导入</w:t>
      </w:r>
      <w:bookmarkEnd w:id="3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48275" cy="2419350"/>
            <wp:effectExtent l="0" t="0" r="9525" b="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5" w:name="_Toc1333"/>
      <w:r>
        <w:rPr>
          <w:rFonts w:hint="eastAsia"/>
        </w:rPr>
        <w:t>唱标</w:t>
      </w:r>
      <w:bookmarkEnd w:id="3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424" w:firstLineChars="202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5598"/>
      <w:r>
        <w:rPr>
          <w:rFonts w:hint="eastAsia"/>
        </w:rPr>
        <w:t>开标结束</w:t>
      </w:r>
      <w:bookmarkEnd w:id="36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7" w:name="_Toc12344"/>
      <w:r>
        <w:rPr>
          <w:rFonts w:hint="eastAsia"/>
        </w:rPr>
        <w:t>语音异议</w:t>
      </w:r>
      <w:bookmarkEnd w:id="3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点击“开标异议语音提问”发起语音提问申请；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39385" cy="2795270"/>
            <wp:effectExtent l="0" t="0" r="18415" b="508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3195" cy="2825115"/>
            <wp:effectExtent l="0" t="0" r="14605" b="1333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Chars="0"/>
      </w:pPr>
      <w:r>
        <w:rPr>
          <w:rFonts w:hint="eastAsia"/>
        </w:rPr>
        <w:t>主持人接通后；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3195" cy="2825115"/>
            <wp:effectExtent l="0" t="0" r="14605" b="1333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主持人断开后；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pStyle w:val="3"/>
      </w:pPr>
      <w:bookmarkStart w:id="39" w:name="_GoBack"/>
      <w:bookmarkEnd w:id="39"/>
      <w:bookmarkStart w:id="38" w:name="_Toc22873"/>
      <w:r>
        <w:rPr>
          <w:rFonts w:hint="eastAsia"/>
        </w:rPr>
        <w:t>文字异议</w:t>
      </w:r>
      <w:bookmarkEnd w:id="3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投标人在开标过程中可以通过文字提问给主持人提问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  <w:ind w:firstLineChars="0"/>
      </w:pPr>
      <w:r>
        <w:rPr>
          <w:rFonts w:hint="eastAsia"/>
        </w:rPr>
        <w:t>点击“开标异议文字提问”发起文字提问；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6370" cy="2667000"/>
            <wp:effectExtent l="0" t="0" r="11430" b="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点击“异议查看”，可以查看自己提交的异议或者其他人的异议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8275" cy="2849245"/>
            <wp:effectExtent l="0" t="0" r="9525" b="825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3195" cy="2825115"/>
            <wp:effectExtent l="0" t="0" r="14605" b="1333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0" w:firstLineChars="0"/>
        <w:jc w:val="both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Cambria" w:hAnsi="Cambria"/>
      </w:rPr>
      <w:t xml:space="preserve">操作手册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05EB329E"/>
    <w:multiLevelType w:val="singleLevel"/>
    <w:tmpl w:val="05EB329E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7">
    <w:nsid w:val="51A32B67"/>
    <w:multiLevelType w:val="singleLevel"/>
    <w:tmpl w:val="51A32B67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BD320B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6013631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857E3D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3EA72CA"/>
    <w:rsid w:val="144D0D6A"/>
    <w:rsid w:val="14CB5FE6"/>
    <w:rsid w:val="14F717C6"/>
    <w:rsid w:val="150F48F4"/>
    <w:rsid w:val="15390ADE"/>
    <w:rsid w:val="153F56D8"/>
    <w:rsid w:val="15402D9E"/>
    <w:rsid w:val="154934C9"/>
    <w:rsid w:val="156E27C7"/>
    <w:rsid w:val="16410C10"/>
    <w:rsid w:val="16A054C3"/>
    <w:rsid w:val="16F13DFA"/>
    <w:rsid w:val="16FA48B3"/>
    <w:rsid w:val="176D2DE2"/>
    <w:rsid w:val="17BB7D55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79463BB"/>
    <w:rsid w:val="286306AA"/>
    <w:rsid w:val="2869162A"/>
    <w:rsid w:val="296F1670"/>
    <w:rsid w:val="2A061B5F"/>
    <w:rsid w:val="2A856EF0"/>
    <w:rsid w:val="2C4129D3"/>
    <w:rsid w:val="2C896F9D"/>
    <w:rsid w:val="2D0F6111"/>
    <w:rsid w:val="2E4B601F"/>
    <w:rsid w:val="2ECB6CDF"/>
    <w:rsid w:val="2EFC0553"/>
    <w:rsid w:val="2FD01134"/>
    <w:rsid w:val="303E16CD"/>
    <w:rsid w:val="304A5464"/>
    <w:rsid w:val="308A3A5B"/>
    <w:rsid w:val="31556FBA"/>
    <w:rsid w:val="315849CF"/>
    <w:rsid w:val="321C56B5"/>
    <w:rsid w:val="32AD1AD9"/>
    <w:rsid w:val="33407A9E"/>
    <w:rsid w:val="33DE5AF1"/>
    <w:rsid w:val="34AC1FA1"/>
    <w:rsid w:val="366342BF"/>
    <w:rsid w:val="36A52343"/>
    <w:rsid w:val="37806448"/>
    <w:rsid w:val="38886DCA"/>
    <w:rsid w:val="39541237"/>
    <w:rsid w:val="3A15504C"/>
    <w:rsid w:val="3A790E32"/>
    <w:rsid w:val="3AB00256"/>
    <w:rsid w:val="3AD755D0"/>
    <w:rsid w:val="3B0009D7"/>
    <w:rsid w:val="3C7637F7"/>
    <w:rsid w:val="3D3A70F6"/>
    <w:rsid w:val="3E3B66E2"/>
    <w:rsid w:val="3F347D3E"/>
    <w:rsid w:val="403D54B6"/>
    <w:rsid w:val="40D60A8C"/>
    <w:rsid w:val="40F12D92"/>
    <w:rsid w:val="41024195"/>
    <w:rsid w:val="419D3557"/>
    <w:rsid w:val="42B95966"/>
    <w:rsid w:val="43035861"/>
    <w:rsid w:val="43570169"/>
    <w:rsid w:val="436A3180"/>
    <w:rsid w:val="43D83A6A"/>
    <w:rsid w:val="450A3A5E"/>
    <w:rsid w:val="45751840"/>
    <w:rsid w:val="460005BB"/>
    <w:rsid w:val="47217935"/>
    <w:rsid w:val="472D1DA2"/>
    <w:rsid w:val="47483C1E"/>
    <w:rsid w:val="477D0FFD"/>
    <w:rsid w:val="478F1F05"/>
    <w:rsid w:val="4800556F"/>
    <w:rsid w:val="48D845AE"/>
    <w:rsid w:val="49C67347"/>
    <w:rsid w:val="4A2B750B"/>
    <w:rsid w:val="4AB06A05"/>
    <w:rsid w:val="4B9D24CE"/>
    <w:rsid w:val="4BCC5890"/>
    <w:rsid w:val="4D3D1623"/>
    <w:rsid w:val="4E651D1A"/>
    <w:rsid w:val="4F2B2D6A"/>
    <w:rsid w:val="4F3F1C24"/>
    <w:rsid w:val="4F96663D"/>
    <w:rsid w:val="50B84A4F"/>
    <w:rsid w:val="51412990"/>
    <w:rsid w:val="525C180F"/>
    <w:rsid w:val="529E4A1C"/>
    <w:rsid w:val="52DB12D4"/>
    <w:rsid w:val="534502A4"/>
    <w:rsid w:val="538B1FA1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2B10436"/>
    <w:rsid w:val="63531A8F"/>
    <w:rsid w:val="63856CAE"/>
    <w:rsid w:val="63D6320E"/>
    <w:rsid w:val="642804FD"/>
    <w:rsid w:val="647358E7"/>
    <w:rsid w:val="65125B3C"/>
    <w:rsid w:val="66124841"/>
    <w:rsid w:val="66CF42EB"/>
    <w:rsid w:val="67DD53A3"/>
    <w:rsid w:val="69343784"/>
    <w:rsid w:val="698C2715"/>
    <w:rsid w:val="6BCC59CF"/>
    <w:rsid w:val="6CDF0597"/>
    <w:rsid w:val="6EA42E59"/>
    <w:rsid w:val="70500FE2"/>
    <w:rsid w:val="71646722"/>
    <w:rsid w:val="729057D5"/>
    <w:rsid w:val="72BF1D17"/>
    <w:rsid w:val="733A3E06"/>
    <w:rsid w:val="73851776"/>
    <w:rsid w:val="73E129E9"/>
    <w:rsid w:val="7486651F"/>
    <w:rsid w:val="7598064C"/>
    <w:rsid w:val="75B10841"/>
    <w:rsid w:val="76572DFC"/>
    <w:rsid w:val="76C164E2"/>
    <w:rsid w:val="77443FA1"/>
    <w:rsid w:val="77B7709D"/>
    <w:rsid w:val="77DD1D3F"/>
    <w:rsid w:val="781B5C33"/>
    <w:rsid w:val="7869124F"/>
    <w:rsid w:val="7904517E"/>
    <w:rsid w:val="79345BC1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4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5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B466E-6951-4285-BAB5-CF38359D8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32</Pages>
  <Words>772</Words>
  <Characters>4403</Characters>
  <Lines>36</Lines>
  <Paragraphs>10</Paragraphs>
  <TotalTime>0</TotalTime>
  <ScaleCrop>false</ScaleCrop>
  <LinksUpToDate>false</LinksUpToDate>
  <CharactersWithSpaces>5165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Joeluca</cp:lastModifiedBy>
  <dcterms:modified xsi:type="dcterms:W3CDTF">2020-06-13T03:56:17Z</dcterms:modified>
  <dc:title>操作手册</dc:title>
  <cp:revision>242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